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71FD" w14:textId="77777777" w:rsidR="00083F79" w:rsidRDefault="00794D79">
      <w:pPr>
        <w:ind w:left="44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0E9D22" wp14:editId="68FAA9E5">
            <wp:extent cx="885973" cy="956691"/>
            <wp:effectExtent l="0" t="0" r="0" b="0"/>
            <wp:docPr id="1" name="Image 1" descr="University of Southern Main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Southern Main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73" cy="95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BF97" w14:textId="77777777" w:rsidR="00083F79" w:rsidRDefault="00083F79">
      <w:pPr>
        <w:pStyle w:val="BodyText"/>
        <w:spacing w:before="31"/>
        <w:ind w:left="0"/>
        <w:rPr>
          <w:rFonts w:ascii="Times New Roman"/>
        </w:rPr>
      </w:pPr>
    </w:p>
    <w:p w14:paraId="29ADE50A" w14:textId="77777777" w:rsidR="00083F79" w:rsidRDefault="00794D79">
      <w:pPr>
        <w:ind w:left="215"/>
        <w:jc w:val="center"/>
        <w:rPr>
          <w:b/>
          <w:sz w:val="23"/>
        </w:rPr>
      </w:pPr>
      <w:r>
        <w:rPr>
          <w:b/>
          <w:spacing w:val="-5"/>
          <w:sz w:val="23"/>
        </w:rPr>
        <w:t>USM</w:t>
      </w:r>
    </w:p>
    <w:p w14:paraId="0F387AAA" w14:textId="77777777" w:rsidR="00083F79" w:rsidRDefault="00794D79">
      <w:pPr>
        <w:ind w:left="4095" w:right="3877" w:hanging="3"/>
        <w:jc w:val="center"/>
        <w:rPr>
          <w:b/>
          <w:sz w:val="23"/>
        </w:rPr>
      </w:pPr>
      <w:r>
        <w:rPr>
          <w:b/>
          <w:sz w:val="23"/>
        </w:rPr>
        <w:t>Student Loan Code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Conduct</w:t>
      </w:r>
    </w:p>
    <w:p w14:paraId="04C690EC" w14:textId="77777777" w:rsidR="00083F79" w:rsidRDefault="00083F79">
      <w:pPr>
        <w:pStyle w:val="BodyText"/>
        <w:spacing w:before="114"/>
        <w:ind w:left="0"/>
        <w:rPr>
          <w:b/>
        </w:rPr>
      </w:pPr>
    </w:p>
    <w:p w14:paraId="50B253F2" w14:textId="77777777" w:rsidR="00083F79" w:rsidRDefault="00794D79">
      <w:pPr>
        <w:pStyle w:val="Heading1"/>
      </w:pPr>
      <w:r>
        <w:t>The Higher Education Opportunity Act (HEOA), which reauthorizes the Higher Education Act (HEA) of 1965, was passed into law on August 14, 2008.</w:t>
      </w:r>
      <w:r>
        <w:rPr>
          <w:spacing w:val="40"/>
        </w:rPr>
        <w:t xml:space="preserve"> </w:t>
      </w:r>
      <w:r>
        <w:t>The HEOA</w:t>
      </w:r>
      <w:r>
        <w:rPr>
          <w:spacing w:val="-4"/>
        </w:rPr>
        <w:t xml:space="preserve"> </w:t>
      </w:r>
      <w:r>
        <w:t>stipulates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 IV loan programs must create, manage and implement a code of conduct with respect to educational loans.</w:t>
      </w:r>
    </w:p>
    <w:p w14:paraId="644B5D2E" w14:textId="77777777" w:rsidR="00083F79" w:rsidRDefault="00794D79">
      <w:pPr>
        <w:pStyle w:val="BodyText"/>
        <w:spacing w:before="99"/>
        <w:ind w:left="201" w:right="7"/>
      </w:pPr>
      <w:r>
        <w:t xml:space="preserve">This Code of Conduct applies to </w:t>
      </w:r>
      <w:proofErr w:type="gramStart"/>
      <w:r>
        <w:t>all of</w:t>
      </w:r>
      <w:proofErr w:type="gramEnd"/>
      <w:r>
        <w:t xml:space="preserve"> the officers, employees, and agents of the institution who have responsibilities related to educational loans. This code of conduct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reinforce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 educational loan borrowers.</w:t>
      </w:r>
      <w:r>
        <w:rPr>
          <w:spacing w:val="40"/>
        </w:rPr>
        <w:t xml:space="preserve"> </w:t>
      </w:r>
      <w:r>
        <w:t>The code of conduct reads as follows:</w:t>
      </w:r>
    </w:p>
    <w:p w14:paraId="3A4287A0" w14:textId="77777777" w:rsidR="00083F79" w:rsidRDefault="00083F79">
      <w:pPr>
        <w:pStyle w:val="BodyText"/>
        <w:ind w:left="0"/>
      </w:pPr>
    </w:p>
    <w:p w14:paraId="2559DDC4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  <w:tab w:val="left" w:pos="1003"/>
        </w:tabs>
        <w:ind w:right="246" w:hanging="361"/>
        <w:rPr>
          <w:sz w:val="23"/>
        </w:rPr>
      </w:pPr>
      <w:r>
        <w:rPr>
          <w:sz w:val="23"/>
        </w:rPr>
        <w:tab/>
        <w:t>All officers, employees, and agents of the college who deal directly with educational</w:t>
      </w:r>
      <w:r>
        <w:rPr>
          <w:spacing w:val="-4"/>
          <w:sz w:val="23"/>
        </w:rPr>
        <w:t xml:space="preserve"> </w:t>
      </w:r>
      <w:r>
        <w:rPr>
          <w:sz w:val="23"/>
        </w:rPr>
        <w:t>loans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enter</w:t>
      </w:r>
      <w:r>
        <w:rPr>
          <w:spacing w:val="-5"/>
          <w:sz w:val="23"/>
        </w:rPr>
        <w:t xml:space="preserve"> </w:t>
      </w:r>
      <w:r>
        <w:rPr>
          <w:sz w:val="23"/>
        </w:rPr>
        <w:t>into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any</w:t>
      </w:r>
      <w:r>
        <w:rPr>
          <w:spacing w:val="-4"/>
          <w:sz w:val="23"/>
        </w:rPr>
        <w:t xml:space="preserve"> </w:t>
      </w:r>
      <w:r>
        <w:rPr>
          <w:sz w:val="23"/>
        </w:rPr>
        <w:t>revenue-sharing</w:t>
      </w:r>
      <w:r>
        <w:rPr>
          <w:spacing w:val="-6"/>
          <w:sz w:val="23"/>
        </w:rPr>
        <w:t xml:space="preserve"> </w:t>
      </w:r>
      <w:r>
        <w:rPr>
          <w:sz w:val="23"/>
        </w:rPr>
        <w:t>arrangement</w:t>
      </w:r>
      <w:r>
        <w:rPr>
          <w:spacing w:val="-4"/>
          <w:sz w:val="23"/>
        </w:rPr>
        <w:t xml:space="preserve"> </w:t>
      </w:r>
      <w:r>
        <w:rPr>
          <w:sz w:val="23"/>
        </w:rPr>
        <w:t>with any lender.</w:t>
      </w:r>
      <w:r>
        <w:rPr>
          <w:spacing w:val="40"/>
          <w:sz w:val="23"/>
        </w:rPr>
        <w:t xml:space="preserve"> </w:t>
      </w:r>
      <w:r>
        <w:rPr>
          <w:sz w:val="23"/>
        </w:rPr>
        <w:t>Thus, USM will not recommend a lender or its products to a student or a student’s family in exchange for the lender paying a fee or providing any other material benefits, including revenue or profit-sharing to the institution or its officers, employees, or agents.</w:t>
      </w:r>
    </w:p>
    <w:p w14:paraId="039D7D7A" w14:textId="77777777" w:rsidR="00083F79" w:rsidRDefault="00083F79">
      <w:pPr>
        <w:pStyle w:val="BodyText"/>
        <w:spacing w:before="162"/>
        <w:ind w:left="0"/>
      </w:pPr>
    </w:p>
    <w:p w14:paraId="4BE3598E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  <w:tab w:val="left" w:pos="1003"/>
        </w:tabs>
        <w:ind w:hanging="360"/>
        <w:rPr>
          <w:sz w:val="23"/>
        </w:rPr>
      </w:pPr>
      <w:r>
        <w:rPr>
          <w:sz w:val="23"/>
        </w:rPr>
        <w:tab/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officer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employee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institution's</w:t>
      </w:r>
      <w:r>
        <w:rPr>
          <w:spacing w:val="-4"/>
          <w:sz w:val="23"/>
        </w:rPr>
        <w:t xml:space="preserve"> </w:t>
      </w:r>
      <w:r>
        <w:rPr>
          <w:sz w:val="23"/>
        </w:rPr>
        <w:t>Financial</w:t>
      </w:r>
      <w:r>
        <w:rPr>
          <w:spacing w:val="-3"/>
          <w:sz w:val="23"/>
        </w:rPr>
        <w:t xml:space="preserve"> </w:t>
      </w:r>
      <w:r>
        <w:rPr>
          <w:sz w:val="23"/>
        </w:rPr>
        <w:t>Aid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  <w:r>
        <w:rPr>
          <w:spacing w:val="-3"/>
          <w:sz w:val="23"/>
        </w:rPr>
        <w:t xml:space="preserve"> </w:t>
      </w:r>
      <w:r>
        <w:rPr>
          <w:sz w:val="23"/>
        </w:rPr>
        <w:t>(or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employee or agent who otherwise has responsibilities with respect to education loans) may solicit or accept any gift from a lender, guarantor, or servicer of</w:t>
      </w:r>
      <w:r>
        <w:rPr>
          <w:spacing w:val="40"/>
          <w:sz w:val="23"/>
        </w:rPr>
        <w:t xml:space="preserve"> </w:t>
      </w:r>
      <w:r>
        <w:rPr>
          <w:sz w:val="23"/>
        </w:rPr>
        <w:t>education loans. A "gift" is defined as any gratuity, favor, discount, entertainment, hospitality, loan or other item having monetary value of more than a nominal amount. However, a gift does not include (1) brochures, a workshop, or training using standard materials relating to a lo</w:t>
      </w:r>
      <w:r>
        <w:rPr>
          <w:sz w:val="23"/>
        </w:rPr>
        <w:t>an, default aversion, or financial literacy; (2) food, training, or informational material provided as part of a training session designed to improve the service of a lender, guarantor, or servicer if the training contributes to the professional development of the institutions Officer, employee or agent; (3) favorable terms and benefits on an education loan provided to a student employed by the institution if those terms and</w:t>
      </w:r>
      <w:r>
        <w:rPr>
          <w:spacing w:val="-1"/>
          <w:sz w:val="23"/>
        </w:rPr>
        <w:t xml:space="preserve"> </w:t>
      </w:r>
      <w:r>
        <w:rPr>
          <w:sz w:val="23"/>
        </w:rPr>
        <w:t>benefits are comparable to those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provided to all students at USM; (4) entrance and </w:t>
      </w:r>
      <w:r>
        <w:rPr>
          <w:sz w:val="23"/>
        </w:rPr>
        <w:t>exit counseling as long as the institution's staff are in control of the counseling and the counseling does not promote the services of a specific lender; (5) philanthropic contributions from a lender, guarantor, or servicer that are unrelated to education loans or any contribution that is not made in exchange for advantage related to education loans, and; (6) State education grants, scholarships, or financial aid funds administered by or on behalf of a State;</w:t>
      </w:r>
    </w:p>
    <w:p w14:paraId="6BEF8B2E" w14:textId="77777777" w:rsidR="00083F79" w:rsidRDefault="00083F79">
      <w:pPr>
        <w:pStyle w:val="ListParagraph"/>
        <w:rPr>
          <w:sz w:val="23"/>
        </w:rPr>
        <w:sectPr w:rsidR="00083F79">
          <w:type w:val="continuous"/>
          <w:pgSz w:w="12240" w:h="20160"/>
          <w:pgMar w:top="1460" w:right="1080" w:bottom="280" w:left="1080" w:header="720" w:footer="720" w:gutter="0"/>
          <w:cols w:space="720"/>
        </w:sectPr>
      </w:pPr>
    </w:p>
    <w:p w14:paraId="5FBB4172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  <w:tab w:val="left" w:pos="1003"/>
        </w:tabs>
        <w:spacing w:before="78"/>
        <w:ind w:right="89" w:hanging="360"/>
        <w:rPr>
          <w:sz w:val="23"/>
        </w:rPr>
      </w:pPr>
      <w:r>
        <w:rPr>
          <w:sz w:val="23"/>
        </w:rPr>
        <w:lastRenderedPageBreak/>
        <w:tab/>
        <w:t>No officer or employee of an institution's Financial Aid Office (or employee or agent</w:t>
      </w:r>
      <w:r>
        <w:rPr>
          <w:spacing w:val="-3"/>
          <w:sz w:val="23"/>
        </w:rPr>
        <w:t xml:space="preserve"> </w:t>
      </w:r>
      <w:r>
        <w:rPr>
          <w:sz w:val="23"/>
        </w:rPr>
        <w:t>who</w:t>
      </w:r>
      <w:r>
        <w:rPr>
          <w:spacing w:val="-3"/>
          <w:sz w:val="23"/>
        </w:rPr>
        <w:t xml:space="preserve"> </w:t>
      </w:r>
      <w:r>
        <w:rPr>
          <w:sz w:val="23"/>
        </w:rPr>
        <w:t>otherwise</w:t>
      </w:r>
      <w:r>
        <w:rPr>
          <w:spacing w:val="-4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responsibilities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respect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education</w:t>
      </w:r>
      <w:r>
        <w:rPr>
          <w:spacing w:val="-3"/>
          <w:sz w:val="23"/>
        </w:rPr>
        <w:t xml:space="preserve"> </w:t>
      </w:r>
      <w:r>
        <w:rPr>
          <w:sz w:val="23"/>
        </w:rPr>
        <w:t>loans)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may accept from a lender, or an affiliate of any lender, any fee, payment, or other financial benefit as compensation for any type of consulting arrangement or contract to provide services to or on behalf of a lender relating to education </w:t>
      </w:r>
      <w:r>
        <w:rPr>
          <w:spacing w:val="-2"/>
          <w:sz w:val="23"/>
        </w:rPr>
        <w:t>loans;</w:t>
      </w:r>
    </w:p>
    <w:p w14:paraId="2DCA953F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</w:tabs>
        <w:spacing w:before="278"/>
        <w:ind w:right="83" w:hanging="360"/>
        <w:rPr>
          <w:sz w:val="23"/>
        </w:rPr>
      </w:pP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officer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employee</w:t>
      </w:r>
      <w:r>
        <w:rPr>
          <w:spacing w:val="-2"/>
          <w:sz w:val="23"/>
        </w:rPr>
        <w:t xml:space="preserve"> </w:t>
      </w:r>
      <w:r>
        <w:rPr>
          <w:sz w:val="23"/>
        </w:rPr>
        <w:t>will</w:t>
      </w:r>
      <w:r>
        <w:rPr>
          <w:spacing w:val="-1"/>
          <w:sz w:val="23"/>
        </w:rPr>
        <w:t xml:space="preserve"> </w:t>
      </w:r>
      <w:r>
        <w:rPr>
          <w:sz w:val="23"/>
        </w:rPr>
        <w:t>steer</w:t>
      </w:r>
      <w:r>
        <w:rPr>
          <w:spacing w:val="-2"/>
          <w:sz w:val="23"/>
        </w:rPr>
        <w:t xml:space="preserve"> </w:t>
      </w:r>
      <w:r>
        <w:rPr>
          <w:sz w:val="23"/>
        </w:rPr>
        <w:t>borrowers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particular</w:t>
      </w:r>
      <w:r>
        <w:rPr>
          <w:spacing w:val="-3"/>
          <w:sz w:val="23"/>
        </w:rPr>
        <w:t xml:space="preserve"> </w:t>
      </w:r>
      <w:r>
        <w:rPr>
          <w:sz w:val="23"/>
        </w:rPr>
        <w:t>lenders</w:t>
      </w:r>
      <w:proofErr w:type="gram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first time</w:t>
      </w:r>
      <w:proofErr w:type="gramEnd"/>
      <w:r>
        <w:rPr>
          <w:sz w:val="23"/>
        </w:rPr>
        <w:t xml:space="preserve"> borrower, USM will not assign, through award packaging or other methods,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borrower's</w:t>
      </w:r>
      <w:r>
        <w:rPr>
          <w:spacing w:val="-3"/>
          <w:sz w:val="23"/>
        </w:rPr>
        <w:t xml:space="preserve"> </w:t>
      </w:r>
      <w:r>
        <w:rPr>
          <w:sz w:val="23"/>
        </w:rPr>
        <w:t>loan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particular</w:t>
      </w:r>
      <w:r>
        <w:rPr>
          <w:spacing w:val="-3"/>
          <w:sz w:val="23"/>
        </w:rPr>
        <w:t xml:space="preserve"> </w:t>
      </w:r>
      <w:r>
        <w:rPr>
          <w:sz w:val="23"/>
        </w:rPr>
        <w:t>lender.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addition,</w:t>
      </w:r>
      <w:r>
        <w:rPr>
          <w:spacing w:val="-3"/>
          <w:sz w:val="23"/>
        </w:rPr>
        <w:t xml:space="preserve"> </w:t>
      </w:r>
      <w:r>
        <w:rPr>
          <w:sz w:val="23"/>
        </w:rPr>
        <w:t>USM</w:t>
      </w:r>
      <w:r>
        <w:rPr>
          <w:spacing w:val="-4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not refuse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certify,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delay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certification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loan</w:t>
      </w:r>
      <w:r>
        <w:rPr>
          <w:spacing w:val="-3"/>
          <w:sz w:val="23"/>
        </w:rPr>
        <w:t xml:space="preserve"> </w:t>
      </w:r>
      <w:r>
        <w:rPr>
          <w:sz w:val="23"/>
        </w:rPr>
        <w:t>based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borrower's selection of a particular lender or guaranty </w:t>
      </w:r>
      <w:proofErr w:type="gramStart"/>
      <w:r>
        <w:rPr>
          <w:sz w:val="23"/>
        </w:rPr>
        <w:t>agency;</w:t>
      </w:r>
      <w:proofErr w:type="gramEnd"/>
    </w:p>
    <w:p w14:paraId="4FCC5BC4" w14:textId="77777777" w:rsidR="00083F79" w:rsidRDefault="00083F79">
      <w:pPr>
        <w:pStyle w:val="BodyText"/>
        <w:spacing w:before="1"/>
        <w:ind w:left="0"/>
      </w:pPr>
    </w:p>
    <w:p w14:paraId="6DE94BC9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</w:tabs>
        <w:ind w:right="99" w:hanging="360"/>
        <w:rPr>
          <w:sz w:val="23"/>
        </w:rPr>
      </w:pPr>
      <w:r>
        <w:rPr>
          <w:sz w:val="23"/>
        </w:rPr>
        <w:t xml:space="preserve">No officer or employee may receive offers of funds for private loans. An institution may not request or accept </w:t>
      </w:r>
      <w:proofErr w:type="gramStart"/>
      <w:r>
        <w:rPr>
          <w:sz w:val="23"/>
        </w:rPr>
        <w:t>from any lender any</w:t>
      </w:r>
      <w:proofErr w:type="gramEnd"/>
      <w:r>
        <w:rPr>
          <w:sz w:val="23"/>
        </w:rPr>
        <w:t xml:space="preserve"> offer of funds for private loans, including funds for an opportunity pool loan, to students in exchange for providing concessions or promises to the lender for a specific number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Title</w:t>
      </w:r>
      <w:r>
        <w:rPr>
          <w:spacing w:val="-4"/>
          <w:sz w:val="23"/>
        </w:rPr>
        <w:t xml:space="preserve"> </w:t>
      </w:r>
      <w:r>
        <w:rPr>
          <w:sz w:val="23"/>
        </w:rPr>
        <w:t>IV</w:t>
      </w:r>
      <w:r>
        <w:rPr>
          <w:spacing w:val="-4"/>
          <w:sz w:val="23"/>
        </w:rPr>
        <w:t xml:space="preserve"> </w:t>
      </w:r>
      <w:r>
        <w:rPr>
          <w:sz w:val="23"/>
        </w:rPr>
        <w:t>loans</w:t>
      </w:r>
      <w:r>
        <w:rPr>
          <w:spacing w:val="-4"/>
          <w:sz w:val="23"/>
        </w:rPr>
        <w:t xml:space="preserve"> </w:t>
      </w:r>
      <w:r>
        <w:rPr>
          <w:sz w:val="23"/>
        </w:rPr>
        <w:t>made,</w:t>
      </w:r>
      <w:r>
        <w:rPr>
          <w:spacing w:val="-3"/>
          <w:sz w:val="23"/>
        </w:rPr>
        <w:t xml:space="preserve"> </w:t>
      </w:r>
      <w:r>
        <w:rPr>
          <w:sz w:val="23"/>
        </w:rPr>
        <w:t>insured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guaranteed,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specific</w:t>
      </w:r>
      <w:r>
        <w:rPr>
          <w:spacing w:val="-4"/>
          <w:sz w:val="23"/>
        </w:rPr>
        <w:t xml:space="preserve"> </w:t>
      </w:r>
      <w:r>
        <w:rPr>
          <w:sz w:val="23"/>
        </w:rPr>
        <w:t>loan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volume, or a preferred lender arrangement. An "opportunity pool loan" is defined as a private education loan by a lender to a student (or the student's family) that involves </w:t>
      </w:r>
      <w:proofErr w:type="gramStart"/>
      <w:r>
        <w:rPr>
          <w:sz w:val="23"/>
        </w:rPr>
        <w:t>a payment</w:t>
      </w:r>
      <w:proofErr w:type="gramEnd"/>
      <w:r>
        <w:rPr>
          <w:sz w:val="23"/>
        </w:rPr>
        <w:t xml:space="preserve"> by the institution to the lender of extending credit to the </w:t>
      </w:r>
      <w:r>
        <w:rPr>
          <w:spacing w:val="-2"/>
          <w:sz w:val="23"/>
        </w:rPr>
        <w:t>student.</w:t>
      </w:r>
    </w:p>
    <w:p w14:paraId="2A0D5934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</w:tabs>
        <w:spacing w:before="279"/>
        <w:ind w:right="59" w:hanging="360"/>
        <w:rPr>
          <w:sz w:val="23"/>
        </w:rPr>
      </w:pPr>
      <w:r>
        <w:rPr>
          <w:sz w:val="23"/>
        </w:rPr>
        <w:t>USM may not request or accept from any lender any assistance with call center</w:t>
      </w:r>
      <w:r>
        <w:rPr>
          <w:spacing w:val="-1"/>
          <w:sz w:val="23"/>
        </w:rPr>
        <w:t xml:space="preserve"> </w:t>
      </w:r>
      <w:r>
        <w:rPr>
          <w:sz w:val="23"/>
        </w:rPr>
        <w:t>staffing or</w:t>
      </w:r>
      <w:r>
        <w:rPr>
          <w:spacing w:val="-2"/>
          <w:sz w:val="23"/>
        </w:rPr>
        <w:t xml:space="preserve"> </w:t>
      </w:r>
      <w:r>
        <w:rPr>
          <w:sz w:val="23"/>
        </w:rPr>
        <w:t>financial aid</w:t>
      </w:r>
      <w:r>
        <w:rPr>
          <w:spacing w:val="-2"/>
          <w:sz w:val="23"/>
        </w:rPr>
        <w:t xml:space="preserve"> </w:t>
      </w:r>
      <w:r>
        <w:rPr>
          <w:sz w:val="23"/>
        </w:rPr>
        <w:t>office</w:t>
      </w:r>
      <w:r>
        <w:rPr>
          <w:spacing w:val="-2"/>
          <w:sz w:val="23"/>
        </w:rPr>
        <w:t xml:space="preserve"> </w:t>
      </w:r>
      <w:r>
        <w:rPr>
          <w:sz w:val="23"/>
        </w:rPr>
        <w:t>staffing, except as permitted</w:t>
      </w:r>
      <w:r>
        <w:rPr>
          <w:spacing w:val="-1"/>
          <w:sz w:val="23"/>
        </w:rPr>
        <w:t xml:space="preserve"> </w:t>
      </w:r>
      <w:r>
        <w:rPr>
          <w:sz w:val="23"/>
        </w:rPr>
        <w:t>through</w:t>
      </w:r>
      <w:r>
        <w:rPr>
          <w:spacing w:val="-1"/>
          <w:sz w:val="23"/>
        </w:rPr>
        <w:t xml:space="preserve"> </w:t>
      </w:r>
      <w:r>
        <w:rPr>
          <w:sz w:val="23"/>
        </w:rPr>
        <w:t>The Higher Education Opportunity Act where it is allowable for a lender to provide professional development training, educational counseling materials (as long as the materials identify the lender that assisted in preparing the materials), or</w:t>
      </w:r>
      <w:r>
        <w:rPr>
          <w:spacing w:val="-4"/>
          <w:sz w:val="23"/>
        </w:rPr>
        <w:t xml:space="preserve"> </w:t>
      </w:r>
      <w:r>
        <w:rPr>
          <w:sz w:val="23"/>
        </w:rPr>
        <w:t>staffing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short-term,</w:t>
      </w:r>
      <w:r>
        <w:rPr>
          <w:spacing w:val="-5"/>
          <w:sz w:val="23"/>
        </w:rPr>
        <w:t xml:space="preserve"> </w:t>
      </w:r>
      <w:r>
        <w:rPr>
          <w:sz w:val="23"/>
        </w:rPr>
        <w:t>nonrecurring</w:t>
      </w:r>
      <w:r>
        <w:rPr>
          <w:spacing w:val="-3"/>
          <w:sz w:val="23"/>
        </w:rPr>
        <w:t xml:space="preserve"> </w:t>
      </w:r>
      <w:r>
        <w:rPr>
          <w:sz w:val="23"/>
        </w:rPr>
        <w:t>basis</w:t>
      </w:r>
      <w:r>
        <w:rPr>
          <w:spacing w:val="-4"/>
          <w:sz w:val="23"/>
        </w:rPr>
        <w:t xml:space="preserve"> </w:t>
      </w:r>
      <w:r>
        <w:rPr>
          <w:sz w:val="23"/>
        </w:rPr>
        <w:t>during</w:t>
      </w:r>
      <w:r>
        <w:rPr>
          <w:spacing w:val="-3"/>
          <w:sz w:val="23"/>
        </w:rPr>
        <w:t xml:space="preserve"> </w:t>
      </w:r>
      <w:r>
        <w:rPr>
          <w:sz w:val="23"/>
        </w:rPr>
        <w:t>emergencies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or </w:t>
      </w:r>
      <w:r>
        <w:rPr>
          <w:spacing w:val="-2"/>
          <w:sz w:val="23"/>
        </w:rPr>
        <w:t>disasters.</w:t>
      </w:r>
    </w:p>
    <w:p w14:paraId="5D23EB0B" w14:textId="77777777" w:rsidR="00083F79" w:rsidRDefault="00083F79">
      <w:pPr>
        <w:pStyle w:val="BodyText"/>
        <w:ind w:left="0"/>
      </w:pPr>
    </w:p>
    <w:p w14:paraId="45FCE5F4" w14:textId="77777777" w:rsidR="00083F79" w:rsidRDefault="00794D79">
      <w:pPr>
        <w:pStyle w:val="ListParagraph"/>
        <w:numPr>
          <w:ilvl w:val="0"/>
          <w:numId w:val="1"/>
        </w:numPr>
        <w:tabs>
          <w:tab w:val="left" w:pos="921"/>
        </w:tabs>
        <w:ind w:right="131" w:hanging="360"/>
        <w:rPr>
          <w:sz w:val="23"/>
        </w:rPr>
      </w:pPr>
      <w:r>
        <w:rPr>
          <w:sz w:val="23"/>
        </w:rPr>
        <w:t>No officer or employee of USM’s financial aid office (or employee who otherwise has responsibilities</w:t>
      </w:r>
      <w:r>
        <w:rPr>
          <w:spacing w:val="-1"/>
          <w:sz w:val="23"/>
        </w:rPr>
        <w:t xml:space="preserve"> </w:t>
      </w:r>
      <w:r>
        <w:rPr>
          <w:sz w:val="23"/>
        </w:rPr>
        <w:t>with respect to education loans or financial aid) who serves on an advisory board, commission, or group established by a lender or guarantor (or a group of lenders or guarantors) may receive anything of value from the lender, guarantor, or group except for reimbursement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reasonable</w:t>
      </w:r>
      <w:r>
        <w:rPr>
          <w:spacing w:val="-5"/>
          <w:sz w:val="23"/>
        </w:rPr>
        <w:t xml:space="preserve"> </w:t>
      </w:r>
      <w:r>
        <w:rPr>
          <w:sz w:val="23"/>
        </w:rPr>
        <w:t>expenses</w:t>
      </w:r>
      <w:r>
        <w:rPr>
          <w:spacing w:val="-7"/>
          <w:sz w:val="23"/>
        </w:rPr>
        <w:t xml:space="preserve"> </w:t>
      </w:r>
      <w:r>
        <w:rPr>
          <w:sz w:val="23"/>
        </w:rPr>
        <w:t>incurred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employee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serving on the board.</w:t>
      </w:r>
    </w:p>
    <w:sectPr w:rsidR="00083F79">
      <w:pgSz w:w="12240" w:h="20160"/>
      <w:pgMar w:top="1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0EE"/>
    <w:multiLevelType w:val="hybridMultilevel"/>
    <w:tmpl w:val="699E6690"/>
    <w:lvl w:ilvl="0" w:tplc="0B38BEC0">
      <w:start w:val="1"/>
      <w:numFmt w:val="decimal"/>
      <w:lvlText w:val="%1."/>
      <w:lvlJc w:val="left"/>
      <w:pPr>
        <w:ind w:left="921" w:hanging="44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61D46450">
      <w:numFmt w:val="bullet"/>
      <w:lvlText w:val="•"/>
      <w:lvlJc w:val="left"/>
      <w:pPr>
        <w:ind w:left="1836" w:hanging="442"/>
      </w:pPr>
      <w:rPr>
        <w:rFonts w:hint="default"/>
        <w:lang w:val="en-US" w:eastAsia="en-US" w:bidi="ar-SA"/>
      </w:rPr>
    </w:lvl>
    <w:lvl w:ilvl="2" w:tplc="DEB430A2">
      <w:numFmt w:val="bullet"/>
      <w:lvlText w:val="•"/>
      <w:lvlJc w:val="left"/>
      <w:pPr>
        <w:ind w:left="2752" w:hanging="442"/>
      </w:pPr>
      <w:rPr>
        <w:rFonts w:hint="default"/>
        <w:lang w:val="en-US" w:eastAsia="en-US" w:bidi="ar-SA"/>
      </w:rPr>
    </w:lvl>
    <w:lvl w:ilvl="3" w:tplc="32C4FF12">
      <w:numFmt w:val="bullet"/>
      <w:lvlText w:val="•"/>
      <w:lvlJc w:val="left"/>
      <w:pPr>
        <w:ind w:left="3668" w:hanging="442"/>
      </w:pPr>
      <w:rPr>
        <w:rFonts w:hint="default"/>
        <w:lang w:val="en-US" w:eastAsia="en-US" w:bidi="ar-SA"/>
      </w:rPr>
    </w:lvl>
    <w:lvl w:ilvl="4" w:tplc="F9A86CE4">
      <w:numFmt w:val="bullet"/>
      <w:lvlText w:val="•"/>
      <w:lvlJc w:val="left"/>
      <w:pPr>
        <w:ind w:left="4584" w:hanging="442"/>
      </w:pPr>
      <w:rPr>
        <w:rFonts w:hint="default"/>
        <w:lang w:val="en-US" w:eastAsia="en-US" w:bidi="ar-SA"/>
      </w:rPr>
    </w:lvl>
    <w:lvl w:ilvl="5" w:tplc="00B6B146">
      <w:numFmt w:val="bullet"/>
      <w:lvlText w:val="•"/>
      <w:lvlJc w:val="left"/>
      <w:pPr>
        <w:ind w:left="5500" w:hanging="442"/>
      </w:pPr>
      <w:rPr>
        <w:rFonts w:hint="default"/>
        <w:lang w:val="en-US" w:eastAsia="en-US" w:bidi="ar-SA"/>
      </w:rPr>
    </w:lvl>
    <w:lvl w:ilvl="6" w:tplc="7426512A">
      <w:numFmt w:val="bullet"/>
      <w:lvlText w:val="•"/>
      <w:lvlJc w:val="left"/>
      <w:pPr>
        <w:ind w:left="6416" w:hanging="442"/>
      </w:pPr>
      <w:rPr>
        <w:rFonts w:hint="default"/>
        <w:lang w:val="en-US" w:eastAsia="en-US" w:bidi="ar-SA"/>
      </w:rPr>
    </w:lvl>
    <w:lvl w:ilvl="7" w:tplc="09B26EAE">
      <w:numFmt w:val="bullet"/>
      <w:lvlText w:val="•"/>
      <w:lvlJc w:val="left"/>
      <w:pPr>
        <w:ind w:left="7332" w:hanging="442"/>
      </w:pPr>
      <w:rPr>
        <w:rFonts w:hint="default"/>
        <w:lang w:val="en-US" w:eastAsia="en-US" w:bidi="ar-SA"/>
      </w:rPr>
    </w:lvl>
    <w:lvl w:ilvl="8" w:tplc="799CDD9E">
      <w:numFmt w:val="bullet"/>
      <w:lvlText w:val="•"/>
      <w:lvlJc w:val="left"/>
      <w:pPr>
        <w:ind w:left="8248" w:hanging="442"/>
      </w:pPr>
      <w:rPr>
        <w:rFonts w:hint="default"/>
        <w:lang w:val="en-US" w:eastAsia="en-US" w:bidi="ar-SA"/>
      </w:rPr>
    </w:lvl>
  </w:abstractNum>
  <w:num w:numId="1" w16cid:durableId="15715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F79"/>
    <w:rsid w:val="00083F79"/>
    <w:rsid w:val="003F6779"/>
    <w:rsid w:val="007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F9D1"/>
  <w15:docId w15:val="{2EEAFA52-A79E-43D9-B449-FB0B2E2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01" w:right="12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1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21" w:right="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4190</Characters>
  <Application>Microsoft Office Word</Application>
  <DocSecurity>0</DocSecurity>
  <Lines>34</Lines>
  <Paragraphs>9</Paragraphs>
  <ScaleCrop>false</ScaleCrop>
  <Company>University Of Maine System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TitleIVloan code of conduct.docx</dc:title>
  <dc:creator>tamaraw</dc:creator>
  <cp:lastModifiedBy>Susan D Jensen</cp:lastModifiedBy>
  <cp:revision>2</cp:revision>
  <dcterms:created xsi:type="dcterms:W3CDTF">2026-02-11T16:36:00Z</dcterms:created>
  <dcterms:modified xsi:type="dcterms:W3CDTF">2026-02-11T16:36:00Z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2026-02-11T00:00:00Z</vt:filetime>
  </property>
  <property fmtid="{D5CDD505-2E9C-101B-9397-08002B2CF9AE}" pid="5" name="Producer">
    <vt:lpwstr>Acrobat Distiller 6.0 (Windows)</vt:lpwstr>
  </property>
</Properties>
</file>